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Table 3: PICO Framework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3975"/>
        <w:gridCol w:w="3525"/>
        <w:tblGridChange w:id="0">
          <w:tblGrid>
            <w:gridCol w:w="1635"/>
            <w:gridCol w:w="3975"/>
            <w:gridCol w:w="3525"/>
          </w:tblGrid>
        </w:tblGridChange>
      </w:tblGrid>
      <w:tr>
        <w:trPr>
          <w:cantSplit w:val="0"/>
          <w:trHeight w:val="180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PICO Element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Inclusion Criteria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Exclusion criteria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Participants or population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Adults with depression, MDD, or TRD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Under 18 years or any diagnosis other than depression.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Intervention or exposure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Psilocybin treatment or antidepressants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-</w:t>
            </w:r>
          </w:p>
        </w:tc>
      </w:tr>
      <w:tr>
        <w:trPr>
          <w:cantSplit w:val="0"/>
          <w:trHeight w:val="1342.2084960937495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Comparators or Control (where relevant)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Healthy participants or control conditions will include patients without depression who receive a placebo in the clinical process and comparison with other drugs, such as Ketamine, Niacin, or Mirtazapine. </w:t>
            </w:r>
          </w:p>
          <w:p w:rsidR="00000000" w:rsidDel="00000000" w:rsidP="00000000" w:rsidRDefault="00000000" w:rsidRPr="00000000" w14:paraId="0000000E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0F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 w14:paraId="00000010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-</w:t>
            </w:r>
          </w:p>
        </w:tc>
      </w:tr>
      <w:tr>
        <w:trPr>
          <w:cantSplit w:val="0"/>
          <w:trHeight w:val="3121.3124999999995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Outcomes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after="240" w:before="24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hd w:fill="ffffff" w:val="clear"/>
              <w:spacing w:after="240" w:before="24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Measures of emotional state (i.e., biological and subjective).</w:t>
              <w:br w:type="textWrapping"/>
              <w:t xml:space="preserve"> Measures of neural activity (i.e., results from EEG, fMRI, or other methods). Measures of subjective interpretation (i.e., preference and familiarity). </w:t>
            </w:r>
          </w:p>
          <w:p w:rsidR="00000000" w:rsidDel="00000000" w:rsidP="00000000" w:rsidRDefault="00000000" w:rsidRPr="00000000" w14:paraId="00000018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19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 w14:paraId="0000001A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  <w:tab/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-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Study design 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RTC's</w:t>
            </w:r>
          </w:p>
        </w:tc>
        <w:tc>
          <w:tcPr>
            <w:tcBorders>
              <w:top w:color="bfbfbf" w:space="0" w:sz="5" w:val="single"/>
              <w:left w:color="bfbfbf" w:space="0" w:sz="5" w:val="single"/>
              <w:bottom w:color="bfbfbf" w:space="0" w:sz="5" w:val="single"/>
              <w:right w:color="bfbfbf" w:space="0" w:sz="5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Systematic reviews, meta-analyses, case reports, animal studies, editorials, expert opinions, conference abstracts </w:t>
            </w:r>
          </w:p>
        </w:tc>
      </w:tr>
    </w:tbl>
    <w:p w:rsidR="00000000" w:rsidDel="00000000" w:rsidP="00000000" w:rsidRDefault="00000000" w:rsidRPr="00000000" w14:paraId="00000020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Abbreviations: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  <w:rtl w:val="0"/>
        </w:rPr>
        <w:t xml:space="preserve">MDD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: Major Depressive Disorder;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  <w:rtl w:val="0"/>
        </w:rPr>
        <w:t xml:space="preserve"> PICO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- P- Participants, I- Intervention, C- Comparators or control, O-Outcomes; 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  <w:rtl w:val="0"/>
        </w:rPr>
        <w:t xml:space="preserve">TRD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: Treatment Resistant Depression.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  <w:rtl w:val="0"/>
        </w:rPr>
        <w:t xml:space="preserve">EEG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  <w:rtl w:val="0"/>
        </w:rPr>
        <w:t xml:space="preserve">Electroencephalography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; 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  <w:rtl w:val="0"/>
        </w:rPr>
        <w:t xml:space="preserve">fMRI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  <w:rtl w:val="0"/>
        </w:rPr>
        <w:t xml:space="preserve">Functional Magnetic Resonance Imaging.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